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B" w:rsidRPr="002C084B" w:rsidRDefault="002C084B" w:rsidP="002C084B">
      <w:pP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2C084B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Госпрограммы поддержки малого бизнеса — 2022</w:t>
      </w:r>
    </w:p>
    <w:p w:rsidR="002C084B" w:rsidRPr="002C084B" w:rsidRDefault="002C084B" w:rsidP="002C0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E4E"/>
          <w:sz w:val="23"/>
          <w:szCs w:val="23"/>
          <w:lang w:eastAsia="ru-RU"/>
        </w:rPr>
      </w:pPr>
      <w:r w:rsidRPr="002C084B">
        <w:rPr>
          <w:rFonts w:ascii="Arial" w:eastAsia="Times New Roman" w:hAnsi="Arial" w:cs="Arial"/>
          <w:noProof/>
          <w:color w:val="015CCB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972104C" wp14:editId="47E7EF2D">
                <wp:extent cx="304800" cy="304800"/>
                <wp:effectExtent l="0" t="0" r="0" b="0"/>
                <wp:docPr id="20" name="AutoShape 21" descr="Марина Крицкая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Марина Крицкая" href="https://kontur.ru/articles/author-267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htEQMAAFEGAAAOAAAAZHJzL2Uyb0RvYy54bWysVd1u0zAUvkfiHSzfZ0m69CfR0mlrGjRp&#10;wKTBA7iJ01hL7GC7TQdC4opb7hEPsUuExDt0b8Sx03bthoQE5MKyfexzvu+czycnp6u6QksqFRM8&#10;xv6RhxHlmcgZn8f47ZvUGWGkNOE5qQSnMb6lCp+Onz87aZuI9kQpqpxKBE64itomxqXWTeS6Kitp&#10;TdSRaCgHYyFkTTQs5dzNJWnBe125Pc8buK2QeSNFRpWC3aQz4rH1XxQ006+LQlGNqhgDNm1HaceZ&#10;Gd3xCYnmkjQlyzYwyF+gqAnjEHTnKiGaoIVkT1zVLJNCiUIfZaJ2RVGwjFoOwMb3HrG5LklDLRdI&#10;jmp2aVL/z232anklEctj3IP0cFJDjc4WWtjQqOdjlFOVQcLW39Z395/W39c/13do/dVM7z+vf8Dm&#10;F0u8rBi/mVQsu9nAhDt/LmaXgERki5py3VVU0opokJMqWaMwkpFBJy9y3xTLbRsVWdCmxHZ63VxJ&#10;k3rVXIrsRiEuJiXhc3qmGig/iBJ4bbekFG1JSQ4ZPHDX+TAOFXhDs/alyCETBDJh2a0KWZsYgBet&#10;rHpud+qhK40y2Dz2gpEHSczAtJkbwCTaXm6k0i+oqJGZACVAZ52T5aXS3dHtEROLi5RVlRVoxQ82&#10;wGe3A6HhqrEZEFZvH0IvnI6mo8AJeoOpE3hJ4pylk8AZpP6wnxwnk0nifzRx/SAqWZ5TbsJste8H&#10;T8r2W8luXmGn2p36lahYbtwZSErOZ5NKoiWBt5faz1YQLA/H3EMYNl/A5RElvxd4573QSQejoROk&#10;Qd8Jh97I8fzwPBx4QRgk6SGlS8bpv1NCbYzDfq9vq7QH+hE3z35PuZGoZhq6W8XqGIM04Ov6jVHg&#10;lOe2tJqwqpvvpcLAf0gFlHtbaCt/I9FO/TOR34JcpQA5gfKgD8OkFPI9Ri30tBirdwsiKUbVBQfJ&#10;h34QmCZoF0F/aJ683LfM9i2EZ+AqxhqjbjrRsIIri0ayeQmRfJsYLkzDKJiVsHlCHarNW4W+ZZls&#10;eqxpjPtre+rhTzD+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Cy/S8PdAAAAUwEAABkAAABkcnMvX3JlbHMvZTJvRG9jLnhtbC5yZWxzhNDBasMwDAbg&#10;+2DvYHRvnOaQjZGkl63Qwy6jewDhKImJIwdZKe3bzzAGKwx2FOL/fqHmcF2CuZAkH7mFfVGCIXax&#10;9zy28Hk+7p7BJEXuMUSmFm6U4NA9PjQfFFBzKE1+TSYrnFqYVNcXa5ObaMFUxJU4b4YoC2oeZbQr&#10;uhlHslVZ1lZ+G9DdmebUtyCnfg/mfFtz8/92HAbv6DW6bSHWPyrslCUJnueMooyk32zKN8+RdZNC&#10;Noui3gVKFjedouyq+qmuq5/Ee+zzMW9XJWEMYLvG3r2i+wIAAP//AwBQSwECLQAUAAYACAAAACEA&#10;toM4kv4AAADhAQAAEwAAAAAAAAAAAAAAAAAAAAAAW0NvbnRlbnRfVHlwZXNdLnhtbFBLAQItABQA&#10;BgAIAAAAIQA4/SH/1gAAAJQBAAALAAAAAAAAAAAAAAAAAC8BAABfcmVscy8ucmVsc1BLAQItABQA&#10;BgAIAAAAIQA+nhhtEQMAAFEGAAAOAAAAAAAAAAAAAAAAAC4CAABkcnMvZTJvRG9jLnhtbFBLAQIt&#10;ABQABgAIAAAAIQCGc5Lh1gAAAAMBAAAPAAAAAAAAAAAAAAAAAGsFAABkcnMvZG93bnJldi54bWxQ&#10;SwECLQAUAAYACAAAACEALL9Lw90AAABTAQAAGQAAAAAAAAAAAAAAAABuBgAAZHJzL19yZWxzL2Uy&#10;b0RvYy54bWwucmVsc1BLBQYAAAAABQAFADoBAAC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C084B" w:rsidRPr="002C084B" w:rsidRDefault="002C084B" w:rsidP="003506CA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C084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 этом году государство планирует запустить цифровую платформу МСП, с помощью которой предприниматели смогут выбирать и получать необходимые меры поддержки дистанционно. Новые предложения подготовили для туристических проектов, агробизнесов, участников международных выставок.</w:t>
      </w:r>
    </w:p>
    <w:p w:rsidR="002C084B" w:rsidRPr="002C084B" w:rsidRDefault="002C084B" w:rsidP="003506CA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В статье описаны программы поддержки, которые были приняты до введения санкций. Они продолжат действовать. Но помимо этих программ вводятся дополнительные экстренные меры для развития бизнеса в кризисных условиях. Решения по ним принимаются быстро, поэтому информация постоянно обновляется.</w:t>
      </w:r>
    </w:p>
    <w:p w:rsidR="002C084B" w:rsidRPr="002C084B" w:rsidRDefault="002C084B" w:rsidP="002C084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Какие срочные решения по поддержке бизнеса приняты в марте 2022 года</w:t>
        </w:r>
      </w:hyperlink>
    </w:p>
    <w:p w:rsidR="002C084B" w:rsidRPr="002C084B" w:rsidRDefault="002C084B" w:rsidP="002C084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 сегодняшний день государство предлагает широкий спектр мер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поддержки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для начинающих предпринимателей, так и для уже работающих бизнесов.</w:t>
      </w:r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1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Создание экосистемы поддержки бизнеса</w:t>
        </w:r>
      </w:hyperlink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2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Новое в господдержке в 2022 году</w:t>
        </w:r>
      </w:hyperlink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3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Субсидии от центра занятости</w:t>
        </w:r>
      </w:hyperlink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anchor="4" w:history="1">
        <w:proofErr w:type="spellStart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Грантовая</w:t>
        </w:r>
        <w:proofErr w:type="spellEnd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 поддержка</w:t>
        </w:r>
      </w:hyperlink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anchor="6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Федеральные программы поддержки бизнеса</w:t>
        </w:r>
      </w:hyperlink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anchor="7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Региональные программы поддержки</w:t>
        </w:r>
      </w:hyperlink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4" w:anchor="8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Субсидии на возмещение процентов по кредиту</w:t>
        </w:r>
      </w:hyperlink>
    </w:p>
    <w:p w:rsidR="002C084B" w:rsidRDefault="002C084B" w:rsidP="002C084B">
      <w:pPr>
        <w:numPr>
          <w:ilvl w:val="0"/>
          <w:numId w:val="1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5" w:anchor="9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Поддержка </w:t>
        </w:r>
        <w:proofErr w:type="spellStart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самозанятых</w:t>
        </w:r>
        <w:proofErr w:type="spellEnd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 в 2022 году</w:t>
        </w:r>
      </w:hyperlink>
    </w:p>
    <w:p w:rsidR="002C084B" w:rsidRDefault="002C084B" w:rsidP="002C084B">
      <w:pPr>
        <w:numPr>
          <w:ilvl w:val="0"/>
          <w:numId w:val="1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84B" w:rsidRPr="002C084B" w:rsidRDefault="002C084B" w:rsidP="002C084B">
      <w:pPr>
        <w:numPr>
          <w:ilvl w:val="0"/>
          <w:numId w:val="1"/>
        </w:numPr>
        <w:spacing w:before="100" w:beforeAutospacing="1" w:after="0" w:line="240" w:lineRule="auto"/>
        <w:ind w:left="108" w:hanging="31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Создание экосистемы поддержки бизнеса</w:t>
      </w:r>
    </w:p>
    <w:p w:rsidR="002C084B" w:rsidRPr="002C084B" w:rsidRDefault="002C084B" w:rsidP="002C084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6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21.12.2021 №2371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утвердило сроки запуска эксперимента по оказанию поддержки на базе цифровой платформы МСП. Он стартует с 1 февраля 2022 года до 1 февраля 2025 года.</w:t>
      </w:r>
    </w:p>
    <w:p w:rsidR="002C084B" w:rsidRPr="002C084B" w:rsidRDefault="002C084B" w:rsidP="002C084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Поддержка затронет:</w:t>
      </w:r>
    </w:p>
    <w:p w:rsidR="002C084B" w:rsidRPr="002C084B" w:rsidRDefault="002C084B" w:rsidP="002C084B">
      <w:pPr>
        <w:numPr>
          <w:ilvl w:val="0"/>
          <w:numId w:val="2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малый и средний бизнес;</w:t>
      </w:r>
    </w:p>
    <w:p w:rsidR="002C084B" w:rsidRPr="002C084B" w:rsidRDefault="002C084B" w:rsidP="002C084B">
      <w:pPr>
        <w:numPr>
          <w:ilvl w:val="0"/>
          <w:numId w:val="2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C084B" w:rsidRDefault="002C084B" w:rsidP="002C084B">
      <w:pPr>
        <w:numPr>
          <w:ilvl w:val="0"/>
          <w:numId w:val="2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граждан, которые только собираются начать свое дело.</w:t>
      </w:r>
    </w:p>
    <w:p w:rsidR="002C084B" w:rsidRPr="002C084B" w:rsidRDefault="002C084B" w:rsidP="002C084B">
      <w:pPr>
        <w:numPr>
          <w:ilvl w:val="0"/>
          <w:numId w:val="2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84B" w:rsidRPr="002C084B" w:rsidRDefault="002C084B" w:rsidP="002C0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Предполагается, что новая система максимально упростит открытие, ведение и развитие бизнеса. К ней подключатся федеральные министерства и ведомства, институты развития, банки и страховые организации. Все они будут обмениваться нужной информацией через систему межведомственного электронного взаимодействия.</w:t>
      </w:r>
    </w:p>
    <w:p w:rsidR="002C084B" w:rsidRPr="002C084B" w:rsidRDefault="002C084B" w:rsidP="002C0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новшества — объединить в экосистеме все сервисы для МСП и позволить предпринимателям выбирать и получать необходимые меры поддержки дистанционно. Система будет работать на базе цифровой платформы, которая обеспечит адресный подбор и 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проактивное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одобрение мер поддержки, а также предоставление услуг, которые требуются на разных этапах развития бизнеса, без личного присутствия предпринимателей. К 2024 году на цифровой платформе планируется реализовать более 20 различных сервисов.</w:t>
      </w:r>
    </w:p>
    <w:p w:rsidR="002C084B" w:rsidRPr="002C084B" w:rsidRDefault="002C084B" w:rsidP="002C0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У каждого пользователя платформы появится свой цифровой профиль. Федеральные и региональные инструменты поддержки и сервисы будут предлагаться участникам с учетом потребностей и стадии развития бизнеса.</w:t>
      </w:r>
    </w:p>
    <w:p w:rsidR="002C084B" w:rsidRPr="002C084B" w:rsidRDefault="002C084B" w:rsidP="002C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4B" w:rsidRPr="002C084B" w:rsidRDefault="002C084B" w:rsidP="002C084B">
      <w:pPr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в рамках проекта</w:t>
      </w:r>
    </w:p>
    <w:p w:rsidR="002C084B" w:rsidRPr="002C084B" w:rsidRDefault="002C084B" w:rsidP="002C084B">
      <w:pPr>
        <w:numPr>
          <w:ilvl w:val="0"/>
          <w:numId w:val="3"/>
        </w:numPr>
        <w:spacing w:before="100" w:beforeAutospacing="1" w:after="133" w:line="240" w:lineRule="auto"/>
        <w:ind w:left="108" w:hanging="3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дистанционного доступа к реестру оцифрованных региональных услуг для поддержки МСП.</w:t>
      </w:r>
    </w:p>
    <w:p w:rsidR="002C084B" w:rsidRPr="002C084B" w:rsidRDefault="002C084B" w:rsidP="002C084B">
      <w:pPr>
        <w:numPr>
          <w:ilvl w:val="0"/>
          <w:numId w:val="3"/>
        </w:numPr>
        <w:spacing w:before="100" w:beforeAutospacing="1" w:after="133" w:line="240" w:lineRule="auto"/>
        <w:ind w:left="108" w:hanging="3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Запуск мобильного приложения с сервисами цифровой платформы.</w:t>
      </w:r>
    </w:p>
    <w:p w:rsidR="002C084B" w:rsidRPr="002C084B" w:rsidRDefault="002C084B" w:rsidP="002C084B">
      <w:pPr>
        <w:numPr>
          <w:ilvl w:val="0"/>
          <w:numId w:val="3"/>
        </w:numPr>
        <w:spacing w:before="100" w:beforeAutospacing="1" w:after="133" w:line="240" w:lineRule="auto"/>
        <w:ind w:left="108" w:hanging="3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 реализации товаров или услуг с помощью цифрового сервиса —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агрегатора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маркетплейсов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цифровой платформе.</w:t>
      </w:r>
    </w:p>
    <w:p w:rsidR="002C084B" w:rsidRPr="002C084B" w:rsidRDefault="002C084B" w:rsidP="002C084B">
      <w:pPr>
        <w:numPr>
          <w:ilvl w:val="0"/>
          <w:numId w:val="3"/>
        </w:numPr>
        <w:spacing w:before="100" w:beforeAutospacing="1" w:after="133" w:line="240" w:lineRule="auto"/>
        <w:ind w:left="108" w:hanging="3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с привлечением персонала, обеспечение предложений от соискателей на трудоустройство, в том числе за счет интеграции с существующими сервисами и «Электронной трудовой книжкой».</w:t>
      </w:r>
    </w:p>
    <w:p w:rsidR="002C084B" w:rsidRPr="002C084B" w:rsidRDefault="002C084B" w:rsidP="002C084B">
      <w:pPr>
        <w:numPr>
          <w:ilvl w:val="0"/>
          <w:numId w:val="3"/>
        </w:numPr>
        <w:spacing w:before="100" w:beforeAutospacing="1" w:line="240" w:lineRule="auto"/>
        <w:ind w:left="108" w:hanging="3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Адресный подбор мер, сервисов и решений,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проактивное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одобрение инструментов поддержки.</w:t>
      </w:r>
    </w:p>
    <w:p w:rsidR="002C084B" w:rsidRPr="002C084B" w:rsidRDefault="002C084B" w:rsidP="002C084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Новое в господдержке в 2022 году</w:t>
      </w:r>
    </w:p>
    <w:p w:rsidR="002C084B" w:rsidRPr="002C084B" w:rsidRDefault="002C084B" w:rsidP="002C084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В этом году государство планирует компенсировать предпринимателям часть затрат на участие в международных выставках и ярмарках, сделать более доступным российское ПО, а также усовершенствовать процесс получения заёмных средств.</w:t>
      </w:r>
    </w:p>
    <w:p w:rsidR="002C084B" w:rsidRPr="002C084B" w:rsidRDefault="002C084B" w:rsidP="002C084B">
      <w:pPr>
        <w:spacing w:before="72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Упрощен доступ к господдержке для участников международных выставок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7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22.09.2021 № 1591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упростило для экспортеров процесс оформления заявки на получение федеральных субсидий. Эти деньги могут быть потрачены на компенсацию затрат на участие в международных проектах: на аренду площадки, необходимой мебели и оборудования, а также на оплату регистрационных сборов. Теперь подать заявку можно онлайн через информационную систему «</w:t>
      </w:r>
      <w:hyperlink r:id="rId18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Одно окно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Уже сейчас экспортеры могут с помощью системы отправить заявку на подтверждение нулевой ставки НДС или направить заявление на участие в выставках, получить сертификат свободной продажи.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Субсидии на участие в международных выставках и ярмарках компании и ИП получают с 2021 года. Размер господдержки по каждому мероприятию для малого и среднего бизнеса составляет 700 000 руб., а для крупного — 2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В течение года доступны субсидии на возмещение затрат по трем мероприятиям.</w:t>
      </w:r>
    </w:p>
    <w:p w:rsidR="002C084B" w:rsidRPr="002C084B" w:rsidRDefault="002C084B" w:rsidP="002C084B">
      <w:pPr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Действует «зонтичный» механизм для получения заёмного финансирования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«Зонтичный» механизм предоставления поручительств позволит бизнесу получать кредиты и снижать конечные процентные ставки по ним. Поручительство будет обеспечивать до 50 % от суммы кредита, а предприниматель сможет получить его в «одном окне» банка.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комиссии за поручительство возложена не на предпринимателя, а на банк. Заёмщики со средним риском смогут увеличить объем привлеченных средств за счет поручительств и высвободить залоги, с низким риском — получить кредитные средства в среднем ниже на 1–2 %.</w:t>
      </w:r>
    </w:p>
    <w:p w:rsidR="002C084B" w:rsidRPr="002C084B" w:rsidRDefault="002C084B" w:rsidP="002C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4B" w:rsidRPr="002C084B" w:rsidRDefault="002C084B" w:rsidP="002C084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9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Финансовый инструмент для малого бизнеса: кредиты через «зонтичный» механизм</w:t>
        </w:r>
      </w:hyperlink>
    </w:p>
    <w:p w:rsidR="002C084B" w:rsidRPr="002C084B" w:rsidRDefault="002C084B" w:rsidP="002C084B">
      <w:pPr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Компенсация расходов на покупку </w:t>
      </w:r>
      <w:proofErr w:type="gramStart"/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российского</w:t>
      </w:r>
      <w:proofErr w:type="gramEnd"/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</w:t>
      </w:r>
    </w:p>
    <w:p w:rsidR="002C084B" w:rsidRPr="002C084B" w:rsidRDefault="002C084B" w:rsidP="002C084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рамках нового механизма поддержки малого и среднего бизнеса у предпринимателей появилась возможность приобрести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российское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 на 50 % дешевле. Но для этого нужно соответствовать требованиям по среднесписочной численности работников и доходам.</w:t>
      </w:r>
    </w:p>
    <w:p w:rsidR="002C084B" w:rsidRPr="002C084B" w:rsidRDefault="002C084B" w:rsidP="002C0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0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Требования к бизнесу, претендующему на компенсацию затрат </w:t>
        </w:r>
        <w:proofErr w:type="gramStart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на</w:t>
        </w:r>
        <w:proofErr w:type="gramEnd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 ПО</w:t>
        </w:r>
      </w:hyperlink>
    </w:p>
    <w:p w:rsidR="002C084B" w:rsidRPr="002C084B" w:rsidRDefault="002C084B" w:rsidP="002C084B">
      <w:pPr>
        <w:spacing w:before="72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Продлена программа субсидирования МСП при размещении бумаг на бирже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будет действовать до 2024 года и, как и прежде, доступ к ней получат те бизнесы, сведения о которых содержатся в </w:t>
      </w:r>
      <w:hyperlink r:id="rId21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Едином реестре субъектов МСП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(</w:t>
      </w:r>
      <w:hyperlink r:id="rId22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30.12.2020 № 2374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Она предполагает частичную компенсацию затрат на выпуск акций и облигаций (до 1,5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руб.) и выплаты по купонам (до 70 %).</w:t>
      </w:r>
    </w:p>
    <w:p w:rsid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эмитентов для участия в программе субсидирования осуществляется два раза в год — до 1 июля и до 1 октября календарного года.</w:t>
      </w:r>
    </w:p>
    <w:p w:rsid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84B" w:rsidRPr="002C084B" w:rsidRDefault="002C084B" w:rsidP="002C0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Субсидии от центра занятости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только планируете открыть свой бизнес, то вам нужно знать о специальной программе Минэкономразвития по предоставлению субсидий малому и среднему предпринимательству на региональном уровне. В рамках этой программы центр занятости населения оказывает единовременную финансовую помощь в открытии собственного дела. Но чтобы на нее рассчитывать, нужно быть официальным безработным.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суммы зависит от региона. Например, </w:t>
      </w:r>
      <w:hyperlink r:id="rId23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московские предприниматели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могут рассчитывать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совсем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небольшую финансовую помощь от столичного Центра занятости населения. Она составит не более 10 200 руб. А </w:t>
      </w:r>
      <w:hyperlink r:id="rId24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в Подмосковье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претендовать на 145 560 руб., и еще дополнительно вам выделят 7 500 руб. на подготовку документов.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Актуальную информацию о размере помощи по своему региону следует уточнять на сайте администрации или региональном портале «Мой бизнес». 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правило, единовременная финансовая помощь от центра занятости выделяется на подготовку документов: оплату госпошлины, совершение нотариальных действий при 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госрегистрации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приобретение бланочной документации, услуги правового характера, консультации.</w:t>
      </w:r>
    </w:p>
    <w:p w:rsidR="002C084B" w:rsidRPr="002C084B" w:rsidRDefault="002C084B" w:rsidP="002C0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C084B" w:rsidRPr="002C084B" w:rsidRDefault="002C084B" w:rsidP="002C0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C08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Год бесплатной Эльбы для начинающих ИП: онлайн-бухгалтерия поможет сформировать и отправить документы, сдать отчетность </w:t>
      </w:r>
      <w:proofErr w:type="gramStart"/>
      <w:r w:rsidRPr="002C08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</w:t>
      </w:r>
      <w:proofErr w:type="gramEnd"/>
      <w:r w:rsidRPr="002C08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налоговую</w:t>
      </w:r>
    </w:p>
    <w:p w:rsidR="002C084B" w:rsidRPr="002C084B" w:rsidRDefault="002C084B" w:rsidP="002C0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25" w:history="1">
        <w:r w:rsidRPr="002C084B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Попробовать</w:t>
        </w:r>
      </w:hyperlink>
    </w:p>
    <w:p w:rsidR="002C084B" w:rsidRPr="002C084B" w:rsidRDefault="002C084B" w:rsidP="002C084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Субсидия от центра занятости доступна гражданам, достигшим возраста 18 лет. Но чтобы ее получить, необходимо встать на учет в центр занятости, то есть иметь статус безработного и получать пособие. Стоит также учесть, что субсидии дают не всем, поскольку их ограниченное количество, и выдаются они в начале финансового года (нужно постараться попасть в нужный период). Об этих и других тонкостях </w:t>
      </w:r>
      <w:hyperlink r:id="rId26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рассказывает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Василий Пучков, заместитель директора регионального центра поддержки олимпиадного движения.</w:t>
      </w:r>
    </w:p>
    <w:p w:rsidR="002C084B" w:rsidRPr="002C084B" w:rsidRDefault="002C084B" w:rsidP="002C084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7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Подборка бизнесов, открытых на субсидию от центра занятости</w:t>
        </w:r>
      </w:hyperlink>
    </w:p>
    <w:p w:rsidR="002C084B" w:rsidRPr="002C084B" w:rsidRDefault="002C084B" w:rsidP="002C084B">
      <w:pPr>
        <w:spacing w:before="84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proofErr w:type="spellStart"/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lastRenderedPageBreak/>
        <w:t>Грантовая</w:t>
      </w:r>
      <w:proofErr w:type="spellEnd"/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поддержка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Такую меру господдержки обычно оказывают региональные власти.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 предоставляется как начинающему, так и опытному предпринимателю в форме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на безвозвратной и безвозмездной основах.</w:t>
      </w:r>
      <w:proofErr w:type="gramEnd"/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Ближайший год однозначно будут поддерживать такие направления, как сельское хозяйство, фермерство, туризм.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28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государственной поддержки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 Подмосковью такую информацию дает сайт </w:t>
      </w:r>
      <w:hyperlink r:id="rId29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Центра Развития Предпринимательства Московской Области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сайте «</w:t>
      </w:r>
      <w:hyperlink r:id="rId30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Малый бизнес Кубани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приводится подробный список субсидий для предпринимателей, работающих на юге России.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проще, если вы воспользуетесь поиском в разделе «</w:t>
      </w:r>
      <w:hyperlink r:id="rId31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Центры инфраструктуры МСП в вашем регионе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сайте Минэкономразвития доступен </w:t>
      </w:r>
      <w:hyperlink r:id="rId32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список уполномоченных органов 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поддержке малого и среднего предпринимательства в субъектах Российской Федерации.</w:t>
      </w:r>
    </w:p>
    <w:p w:rsidR="002C084B" w:rsidRPr="002C084B" w:rsidRDefault="002C084B" w:rsidP="002C084B">
      <w:pPr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Поддержка малого агробизнеса в 2022 году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Запуск информационной системы.</w:t>
      </w: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Последние несколько лет государство особенно поддерживает отечественный АПК. В январе 2022 года планировался запуск специальной информационной системы для сельхозпроизводителей. Минсельхоз РФ подготовил соответствующий </w:t>
      </w:r>
      <w:hyperlink r:id="rId33" w:anchor="npa=115542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законопроект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 пока он находится на стадии обсуждения. 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систему запустят, она должна будет обеспечить информирование предпринимателей о возможных мерах господдержки.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Новый грант на развитие сельского туризма. </w:t>
      </w:r>
      <w:hyperlink r:id="rId34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16.12.2021 № 2309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ввело грант на проекты, связанные с сельским туризмом. С 1 января 2022 года малый аграрный бизнес может претендовать на сумму до 10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если, например, занимается </w:t>
      </w: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строительством или ремонтом помещений для приема туристов, создает развлекательную инфраструктуру, закупает туристическое оборудование и т.д.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Грант «</w:t>
      </w:r>
      <w:proofErr w:type="spellStart"/>
      <w:r w:rsidRPr="002C0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Агропрогресс</w:t>
      </w:r>
      <w:proofErr w:type="spellEnd"/>
      <w:r w:rsidRPr="002C0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2021 году поддержка расширилась за счет нового гранта «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Агропрогресс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hyperlink r:id="rId35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26.11.2020 № 1932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). 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господдержки — не более 30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занимаетесь сельским хозяйством, то вам могут подойти другие гранты:</w:t>
      </w:r>
    </w:p>
    <w:p w:rsidR="002C084B" w:rsidRPr="002C084B" w:rsidRDefault="002C084B" w:rsidP="002C084B">
      <w:pPr>
        <w:numPr>
          <w:ilvl w:val="0"/>
          <w:numId w:val="4"/>
        </w:numPr>
        <w:spacing w:before="100" w:beforeAutospacing="1"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Агростартап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 — для КФХ, ИП. Суммы: 3-5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2C084B" w:rsidRPr="002C084B" w:rsidRDefault="002C084B" w:rsidP="002C084B">
      <w:pPr>
        <w:numPr>
          <w:ilvl w:val="0"/>
          <w:numId w:val="4"/>
        </w:numPr>
        <w:spacing w:before="100" w:beforeAutospacing="1"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 на развитие семейной фермы — для КФХ, ИП, отвечающим критериям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микропредприятия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Сумма — не более 30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2021 году аграриям из регионов Дальнего Востока увеличили размер грантов на развитие семейных ферм и сельхозкооперативов. Если ранее объем поддержки достигал не более 60 %, то теперь он увеличился до 70 %. При этом возможно компенсирование до 20 % оставшихся затрат за счет средств регионального бюджета.</w:t>
      </w:r>
    </w:p>
    <w:p w:rsidR="002C084B" w:rsidRPr="002C084B" w:rsidRDefault="002C084B" w:rsidP="002C0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Гранты для туристического бизнеса в 2022 году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предоставления субсидий на 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грантовую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поддержку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бизнес-идей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связанных с развитием внутреннего и въездного туризма, определены </w:t>
      </w:r>
      <w:hyperlink r:id="rId36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Постановлением Правительства РФ от 07.12.2019 № 1619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Выделяемые средства можно тратить на создание новых туристических маршрутов, покупку модульных гостиниц и оборудования для туристических информационных центров, разработку аудиогидов, онлайн-путеводителей, установку пандусов и подъемников для людей с инвалидностью.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Субсидии на гранты выделяются ежегодно, они направляются Ростуризму, а оно в свою очередь проводит конкурс среди предпринимателей на основе полученных заявок. Максимальная сумма гранта составляет 3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К участникам предъявляются определенные </w:t>
      </w:r>
      <w:hyperlink r:id="rId37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требования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оценить, какие проекты чаще всего получают финансирование, ознакомьтесь с </w:t>
      </w:r>
      <w:hyperlink r:id="rId38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результатами конкурса за предыдущие годы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2021 году для ИП и компаний правила получения грантов упростили (</w:t>
      </w:r>
      <w:hyperlink r:id="rId39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11.08.2020 № 1208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Ключевые изменения:</w:t>
      </w:r>
    </w:p>
    <w:p w:rsidR="002C084B" w:rsidRPr="002C084B" w:rsidRDefault="002C084B" w:rsidP="002C084B">
      <w:pPr>
        <w:numPr>
          <w:ilvl w:val="0"/>
          <w:numId w:val="5"/>
        </w:numPr>
        <w:spacing w:before="100" w:beforeAutospacing="1"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подавать заявки и все необходимые документы на гранты можно в электронной форме (в том числе справки об уплате налогов и сборов, бизнес-</w:t>
      </w: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планы проектов, информацию о численности сотрудников, копии учредительных документов, выписки из ЕГРИП и ЕГРЮЛ);</w:t>
      </w:r>
    </w:p>
    <w:p w:rsidR="002C084B" w:rsidRPr="002C084B" w:rsidRDefault="002C084B" w:rsidP="002C084B">
      <w:pPr>
        <w:numPr>
          <w:ilvl w:val="0"/>
          <w:numId w:val="5"/>
        </w:numPr>
        <w:spacing w:before="100" w:beforeAutospacing="1"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сокращены сроки проведения конкурсного отбора.</w:t>
      </w:r>
    </w:p>
    <w:p w:rsidR="002C084B" w:rsidRPr="002C084B" w:rsidRDefault="002C084B" w:rsidP="002C084B">
      <w:pPr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Федеральные программы поддержки бизнеса</w:t>
      </w:r>
    </w:p>
    <w:p w:rsidR="002C084B" w:rsidRPr="002C084B" w:rsidRDefault="002C084B" w:rsidP="002C084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Такой вид поддержки бизнеса можно разделить на несколько программ от различных ведомств и организаций.</w:t>
      </w:r>
    </w:p>
    <w:p w:rsidR="002C084B" w:rsidRPr="002C084B" w:rsidRDefault="002C084B" w:rsidP="002C084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Минэкономразвития России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интересы распространяются на реализацию </w:t>
      </w:r>
      <w:hyperlink r:id="rId40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программы по предоставлению субсидий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 федерального бюджета для оказания господдержки субъектам МСП в регионах (в соответствии с </w:t>
      </w:r>
      <w:hyperlink r:id="rId41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Постановлением Правительства РФ от 11.02.2019 № 110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ежегодно издаваемыми приказами Минэкономразвития).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софинансируются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регионами.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:rsidR="002C084B" w:rsidRPr="002C084B" w:rsidRDefault="002C084B" w:rsidP="002C084B">
      <w:pPr>
        <w:spacing w:before="72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Корпорации МСП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 занимается </w:t>
      </w:r>
      <w:hyperlink r:id="rId42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решением различного спектра задач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инвестпроектов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др. 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3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На сайте корпорации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узнать обо всех льготах, субсидиях и грантах, которые положены вашей компании.</w:t>
      </w:r>
    </w:p>
    <w:p w:rsidR="002C084B" w:rsidRPr="002C084B" w:rsidRDefault="002C084B" w:rsidP="002C084B">
      <w:pPr>
        <w:spacing w:before="72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АО «МСП Банк»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Занимается </w:t>
      </w:r>
      <w:hyperlink r:id="rId44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госпрограммой финансовой поддержки предпринимательства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2C084B" w:rsidRPr="002C084B" w:rsidRDefault="002C084B" w:rsidP="002C084B">
      <w:pPr>
        <w:spacing w:before="72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Фонд содействия инновациям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 </w:t>
      </w:r>
      <w:hyperlink r:id="rId45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отвечает за развитие и поддержку малых предприятий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инноваторов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 также есть программа для 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стартапов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2C084B" w:rsidRPr="002C084B" w:rsidRDefault="002C084B" w:rsidP="002C084B">
      <w:pPr>
        <w:spacing w:before="72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Минсельхоз России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агропромышленного комплекса предусмотрены </w:t>
      </w:r>
      <w:hyperlink r:id="rId46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различные меры господдержки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2022 году.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5 %.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2C084B" w:rsidRPr="002C084B" w:rsidRDefault="002C084B" w:rsidP="002C0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Региональные программы поддержки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Например, вводим запрос «региональный портал малого и среднего предпринимательства Саратов» и выходим на </w:t>
      </w:r>
      <w:hyperlink r:id="rId47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сайт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дает подробную информацию и по видам, и по формам, и по инфраструктуре поддержки.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A30AA8" wp14:editId="1CDC9817">
                <wp:extent cx="304800" cy="304800"/>
                <wp:effectExtent l="0" t="0" r="0" b="0"/>
                <wp:docPr id="12" name="AutoShape 29" descr="https://kontur.ru/Files/userfiles/image/article/m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https://kontur.ru/Files/userfiles/image/article/ms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q3AIAAPkFAAAOAAAAZHJzL2Uyb0RvYy54bWysVNtu2zAMfR+wfxD07vhS52KjTtHG8TCg&#10;2wp0+wBFlm2htuRJSpxu2L+PkpM0aV+GbX4wKFE6PCSPeH2z71q0Y0pzKTIcTgKMmKCy5KLO8Lev&#10;hbfASBsiStJKwTL8zDS+Wb5/dz30KYtkI9uSKQQgQqdDn+HGmD71fU0b1hE9kT0T4Kyk6oiBpar9&#10;UpEB0LvWj4Jg5g9Slb2SlGkNu/noxEuHX1WMmi9VpZlBbYaBm3F/5f4b+/eX1yStFekbTg80yF+w&#10;6AgXEPQElRND0FbxN1Adp0pqWZkJlZ0vq4pT5nKAbMLgVTaPDemZywWKo/tTmfT/g6Wfdw8K8RJ6&#10;F2EkSAc9ut0a6UKjKMGoZJpCwWxjNHTmSQqzVRO19QveMu1vNVOVs3hHauYTZThtmd/pftKL2hZ4&#10;gIsQ57F/ULZEur+X9EkjIVcNETW71T20CQhA/OOWUnJoGCkh09BC+BcYdqEBDW2GT7IExgQYu/Lv&#10;K9XZGFBYtHddfj51me0NorB5FcSLALRAwXWwbQSSHi/3SpsPTHbIGhlWwM6Bk929NuPR4xEbS0io&#10;RAv7JG3FxQZgjjsQGq5anyXhdPEzCZL1Yr2IvTiarb04yHPvtljF3qwI59P8Kl+t8vCXjRvGacPL&#10;kgkb5qjRMP4zDRxey6iuk0q1bHlp4SwlrerNqlVoR+CNFO5zJQfPyzH/koarF+TyKqUwioO7KPGK&#10;2WLuxUU89ZJ5sPCCMLlLZkGcxHlxmdI9F+zfU0JDhpNpNHVdOiP9KrfAfW9zI2nHDUyhlncZBmnA&#10;Zw+R1CpwLUpnG8Lb0T4rhaX/Ugpo97HRTq9WoqP6N7J8BrkqCXIC5cG8BKOR6gdGA8yeDOvvW6IY&#10;Ru1HAZJPwji2w8ot4uk8goU692zOPURQgMqwwWg0V2YccNte8bqBSKErjJD2YVfcSdg+oZHV4XHB&#10;fHGZHGahHWDna3fqZWIv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hPdJq3AIAAP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hyperlink r:id="rId48" w:tgtFrame="_blank" w:history="1">
        <w:r w:rsidRPr="002C084B">
          <w:rPr>
            <w:rFonts w:ascii="Times New Roman" w:eastAsia="Times New Roman" w:hAnsi="Times New Roman" w:cs="Times New Roman"/>
            <w:i/>
            <w:iCs/>
            <w:color w:val="015CCB"/>
            <w:sz w:val="27"/>
            <w:szCs w:val="27"/>
            <w:lang w:eastAsia="ru-RU"/>
          </w:rPr>
          <w:t>Центры инфраструктуры МСП в регионах</w:t>
        </w:r>
      </w:hyperlink>
      <w:r w:rsidRPr="002C084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на сайте «Мой бизнес»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84B" w:rsidRDefault="002C084B" w:rsidP="002C0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Субсидии на возмещение процентов по кредиту</w:t>
      </w:r>
    </w:p>
    <w:p w:rsidR="002C084B" w:rsidRPr="002C084B" w:rsidRDefault="002C084B" w:rsidP="002C0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получения субсидии нужно уточнять в регионах.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84B" w:rsidRDefault="002C084B" w:rsidP="002C0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Поддержка </w:t>
      </w:r>
      <w:proofErr w:type="spellStart"/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самозанятых</w:t>
      </w:r>
      <w:proofErr w:type="spellEnd"/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</w:t>
      </w:r>
    </w:p>
    <w:p w:rsidR="002C084B" w:rsidRPr="002C084B" w:rsidRDefault="002C084B" w:rsidP="002C08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2C084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в 2022 году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9" w:tgtFrame="_blank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29.09.2020 № 1563</w:t>
        </w:r>
      </w:hyperlink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распространило на 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меры поддержки, которые ранее были предусмотрены для МСП.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они смогут воспользоваться полным набором услуг, сервисов и финансовых инструментов в центрах «Мой бизнес».</w:t>
      </w:r>
    </w:p>
    <w:p w:rsidR="002C084B" w:rsidRPr="002C084B" w:rsidRDefault="002C084B" w:rsidP="002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4B" w:rsidRPr="002C084B" w:rsidRDefault="002C084B" w:rsidP="002C084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0" w:history="1"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На что рассчитывать </w:t>
        </w:r>
        <w:proofErr w:type="spellStart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самозанятым</w:t>
        </w:r>
        <w:proofErr w:type="spellEnd"/>
        <w:r w:rsidRPr="002C084B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 в 2022 году</w:t>
        </w:r>
      </w:hyperlink>
    </w:p>
    <w:p w:rsidR="002C084B" w:rsidRPr="002C084B" w:rsidRDefault="002C084B" w:rsidP="002C0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они вправе претендовать на аренду </w:t>
      </w:r>
      <w:proofErr w:type="spell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коворкингов</w:t>
      </w:r>
      <w:proofErr w:type="spell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бизнес-инкубаторов по льготным ставкам, займы в размере до 1 </w:t>
      </w:r>
      <w:proofErr w:type="gramStart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Pr="002C0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от государственных МФО.</w:t>
      </w:r>
    </w:p>
    <w:p w:rsidR="0068578D" w:rsidRDefault="0068578D"/>
    <w:sectPr w:rsidR="0068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FF2"/>
    <w:multiLevelType w:val="multilevel"/>
    <w:tmpl w:val="588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B6A14"/>
    <w:multiLevelType w:val="multilevel"/>
    <w:tmpl w:val="A9A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D713A"/>
    <w:multiLevelType w:val="multilevel"/>
    <w:tmpl w:val="3FE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654BA"/>
    <w:multiLevelType w:val="multilevel"/>
    <w:tmpl w:val="759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46A27"/>
    <w:multiLevelType w:val="multilevel"/>
    <w:tmpl w:val="3A3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8"/>
    <w:rsid w:val="002C084B"/>
    <w:rsid w:val="003506CA"/>
    <w:rsid w:val="0068578D"/>
    <w:rsid w:val="00B81E08"/>
    <w:rsid w:val="00C576FF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1937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14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45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12" w:space="8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1735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77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633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23975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849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0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14056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086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0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8520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4806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9982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17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482315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039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87605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843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13318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842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4710" TargetMode="External"/><Relationship Id="rId18" Type="http://schemas.openxmlformats.org/officeDocument/2006/relationships/hyperlink" Target="https://myexport.exportcenter.ru/?p=1210&amp;utm_source=yandex&amp;utm_medium=organic&amp;utm_referer=yandex.ru&amp;utm_startpage=kontur.ru%2Farticles%2F4710&amp;utm_orderpage=kontur.ru%2Farticles%2F4710" TargetMode="External"/><Relationship Id="rId26" Type="http://schemas.openxmlformats.org/officeDocument/2006/relationships/hyperlink" Target="https://kontur.ru/articles/4627" TargetMode="External"/><Relationship Id="rId39" Type="http://schemas.openxmlformats.org/officeDocument/2006/relationships/hyperlink" Target="https://normativ.kontur.ru/document?moduleId=1100&amp;documentId=9870&amp;p=1210&amp;utm_source=yandex&amp;utm_medium=organic&amp;utm_referer=yandex.ru&amp;utm_startpage=kontur.ru%2Farticles%2F4710&amp;utm_orderpage=kontur.ru%2Farticles%2F47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ntur.ru/articles/4480" TargetMode="External"/><Relationship Id="rId34" Type="http://schemas.openxmlformats.org/officeDocument/2006/relationships/hyperlink" Target="https://normativ.kontur.ru/document?moduleId=1100&amp;documentId=26531&amp;p=1210&amp;utm_source=yandex&amp;utm_medium=organic&amp;utm_referer=yandex.ru&amp;utm_startpage=kontur.ru%2Farticles%2F4710&amp;utm_orderpage=kontur.ru%2Farticles%2F4710" TargetMode="External"/><Relationship Id="rId42" Type="http://schemas.openxmlformats.org/officeDocument/2006/relationships/hyperlink" Target="https://corpmsp.ru/org-infrastruktury-podderzhki?p=1210&amp;utm_source=yandex&amp;utm_medium=organic&amp;utm_referer=yandex.ru&amp;utm_startpage=kontur.ru%2Farticles%2F4710&amp;utm_orderpage=kontur.ru%2Farticles%2F4710" TargetMode="External"/><Relationship Id="rId47" Type="http://schemas.openxmlformats.org/officeDocument/2006/relationships/hyperlink" Target="https://saratov-bis.ru/msp/?p=1210&amp;utm_source=yandex&amp;utm_medium=organic&amp;utm_referer=yandex.ru&amp;utm_startpage=kontur.ru%2Farticles%2F4710&amp;utm_orderpage=kontur.ru%2Farticles%2F4710" TargetMode="External"/><Relationship Id="rId50" Type="http://schemas.openxmlformats.org/officeDocument/2006/relationships/hyperlink" Target="https://kontur.ru/articles/4818" TargetMode="External"/><Relationship Id="rId7" Type="http://schemas.openxmlformats.org/officeDocument/2006/relationships/hyperlink" Target="https://kontur.ru/articles/811" TargetMode="External"/><Relationship Id="rId12" Type="http://schemas.openxmlformats.org/officeDocument/2006/relationships/hyperlink" Target="https://kontur.ru/articles/4710" TargetMode="External"/><Relationship Id="rId17" Type="http://schemas.openxmlformats.org/officeDocument/2006/relationships/hyperlink" Target="https://normativ.kontur.ru/document?moduleId=1100&amp;documentId=23694&amp;p=1210&amp;utm_source=yandex&amp;utm_medium=organic&amp;utm_referer=yandex.ru&amp;utm_startpage=kontur.ru%2Farticles%2F4710&amp;utm_orderpage=kontur.ru%2Farticles%2F4710" TargetMode="External"/><Relationship Id="rId25" Type="http://schemas.openxmlformats.org/officeDocument/2006/relationships/hyperlink" Target="https://kontur.ru/elba/god-besplatnoi-elba?utm_source=ws.testkontur.ru&amp;utm_medium=referral&amp;utm_from=adv-link-articles-elba-4710-3109" TargetMode="External"/><Relationship Id="rId33" Type="http://schemas.openxmlformats.org/officeDocument/2006/relationships/hyperlink" Target="https://regulation.gov.ru/projects/List/AdvancedSearch?p=1210&amp;utm_source=yandex&amp;utm_medium=organic&amp;utm_referer=yandex.ru&amp;utm_startpage=kontur.ru%2Farticles%2F4710&amp;utm_orderpage=kontur.ru%2Farticles%2F4710" TargetMode="External"/><Relationship Id="rId38" Type="http://schemas.openxmlformats.org/officeDocument/2006/relationships/hyperlink" Target="https://1619.tourism.gov.ru/?p=1210&amp;utm_source=yandex&amp;utm_medium=organic&amp;utm_referer=yandex.ru&amp;utm_startpage=kontur.ru%2Farticles%2F4710&amp;utm_orderpage=kontur.ru%2Farticles%2F4710" TargetMode="External"/><Relationship Id="rId46" Type="http://schemas.openxmlformats.org/officeDocument/2006/relationships/hyperlink" Target="http://mcx.ru/activity/state-support/measures?p=1210&amp;utm_source=yandex&amp;utm_medium=organic&amp;utm_referer=yandex.ru&amp;utm_startpage=kontur.ru%2Farticles%2F4710&amp;utm_orderpage=kontur.ru%2Farticles%2F47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0886&amp;p=1210&amp;utm_source=yandex&amp;utm_medium=organic&amp;utm_referer=yandex.ru&amp;utm_startpage=kontur.ru%2Farticles%2F4710&amp;utm_orderpage=kontur.ru%2Farticles%2F4710" TargetMode="External"/><Relationship Id="rId20" Type="http://schemas.openxmlformats.org/officeDocument/2006/relationships/hyperlink" Target="https://kontur.ru/articles/929" TargetMode="External"/><Relationship Id="rId29" Type="http://schemas.openxmlformats.org/officeDocument/2006/relationships/hyperlink" Target="http://www.mspmo.ru/?p=1210&amp;utm_source=yandex&amp;utm_medium=organic&amp;utm_referer=yandex.ru&amp;utm_startpage=kontur.ru%2Farticles%2F4710&amp;utm_orderpage=kontur.ru%2Farticles%2F4710" TargetMode="External"/><Relationship Id="rId41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author-267662" TargetMode="External"/><Relationship Id="rId11" Type="http://schemas.openxmlformats.org/officeDocument/2006/relationships/hyperlink" Target="https://kontur.ru/articles/4710" TargetMode="External"/><Relationship Id="rId24" Type="http://schemas.openxmlformats.org/officeDocument/2006/relationships/hyperlink" Target="https://msr.mosreg.ru/sobytiya/novosti-ministerstva/05-11-2020-13-16-35-v-podmoskove-s-nachala-goda-301-chelovek-otkryl-so?p=1210&amp;utm_source=yandex&amp;utm_medium=organic&amp;utm_referer=yandex.ru&amp;utm_startpage=kontur.ru%2Farticles%2F4710&amp;utm_orderpage=kontur.ru%2Farticles%2F4710" TargetMode="External"/><Relationship Id="rId32" Type="http://schemas.openxmlformats.org/officeDocument/2006/relationships/hyperlink" Target="https://old.economy.gov.ru/minec/activity/sections/smallBusiness/2017010208?p=1210&amp;utm_source=yandex&amp;utm_medium=organic&amp;utm_referer=yandex.ru&amp;utm_startpage=kontur.ru%2Farticles%2F4710&amp;utm_orderpage=kontur.ru%2Farticles%2F4710" TargetMode="External"/><Relationship Id="rId37" Type="http://schemas.openxmlformats.org/officeDocument/2006/relationships/hyperlink" Target="https://1619.tourism.gov.ru/public/faq/612ac4ba-dbb2-4530-b9bf-e731e897713c?p=1210&amp;utm_source=yandex&amp;utm_medium=organic&amp;utm_referer=yandex.ru&amp;utm_startpage=kontur.ru%2Farticles%2F4710&amp;utm_orderpage=kontur.ru%2Farticles%2F4710" TargetMode="External"/><Relationship Id="rId40" Type="http://schemas.openxmlformats.org/officeDocument/2006/relationships/hyperlink" Target="https://old.economy.gov.ru/minec/activity/sections/smallBusiness/?p=1210&amp;utm_source=yandex&amp;utm_medium=organic&amp;utm_referer=yandex.ru&amp;utm_startpage=kontur.ru%2Farticles%2F4710&amp;utm_orderpage=kontur.ru%2Farticles%2F4710" TargetMode="External"/><Relationship Id="rId45" Type="http://schemas.openxmlformats.org/officeDocument/2006/relationships/hyperlink" Target="http://www.fasie.ru/programs?p=1210&amp;utm_source=yandex&amp;utm_medium=organic&amp;utm_referer=yandex.ru&amp;utm_startpage=kontur.ru%2Farticles%2F4710&amp;utm_orderpage=kontur.ru%2Farticles%2F47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tur.ru/articles/4710" TargetMode="External"/><Relationship Id="rId23" Type="http://schemas.openxmlformats.org/officeDocument/2006/relationships/hyperlink" Target="https://dszn.ru/press-center/news/4185?p=1210&amp;utm_source=yandex&amp;utm_medium=organic&amp;utm_campaign=newsletter_YP_13012022&amp;utm_startpage=kontur.ru%2Farticles%2F4710&amp;utm_orderpage=kontur.ru%2Farticles%2F4710&amp;utm_referer=yandex.ru" TargetMode="External"/><Relationship Id="rId28" Type="http://schemas.openxmlformats.org/officeDocument/2006/relationships/hyperlink" Target="https://mert.tatarstan.ru/gosudarstvennaya-podderzhka.htm?p=1210&amp;utm_source=yandex&amp;utm_medium=organic&amp;utm_referer=yandex.ru&amp;utm_startpage=kontur.ru%2Farticles%2F4710&amp;utm_orderpage=kontur.ru%2Farticles%2F4710" TargetMode="External"/><Relationship Id="rId36" Type="http://schemas.openxmlformats.org/officeDocument/2006/relationships/hyperlink" Target="https://normativ.kontur.ru/document?moduleId=1100&amp;documentId=4380&amp;p=1210&amp;utm_source=yandex&amp;utm_medium=organic&amp;utm_referer=yandex.ru&amp;utm_startpage=kontur.ru%2Farticles%2F4710&amp;utm_orderpage=kontur.ru%2Farticles%2F4710" TargetMode="External"/><Relationship Id="rId49" Type="http://schemas.openxmlformats.org/officeDocument/2006/relationships/hyperlink" Target="https://normativ.kontur.ru/document?moduleId=1&amp;documentId=372225&amp;p=1210&amp;utm_source=yandex&amp;utm_medium=organic&amp;utm_campaign=newsletter_YP_13012022&amp;utm_startpage=kontur.ru%2Farticles%2F4710&amp;utm_orderpage=kontur.ru%2Farticles%2F4710&amp;utm_referer=yandex.ru" TargetMode="Externa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s://kontur.ru/articles/701" TargetMode="External"/><Relationship Id="rId31" Type="http://schemas.openxmlformats.org/officeDocument/2006/relationships/hyperlink" Target="https://xn--90aifddrld7a.xn--p1ai/centers?p=1210&amp;utm_source=yandex&amp;utm_medium=organic&amp;utm_referer=yandex.ru&amp;utm_startpage=kontur.ru%2Farticles%2F4710&amp;utm_orderpage=kontur.ru%2Farticles%2F4710" TargetMode="External"/><Relationship Id="rId44" Type="http://schemas.openxmlformats.org/officeDocument/2006/relationships/hyperlink" Target="https://mspbank.ru/who-can-receive-help?p=1210&amp;utm_source=yandex&amp;utm_medium=organic&amp;utm_referer=yandex.ru&amp;utm_startpage=kontur.ru%2Farticles%2F4710&amp;utm_orderpage=kontur.ru%2Farticles%2F471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kontur.ru/articles/4710" TargetMode="External"/><Relationship Id="rId22" Type="http://schemas.openxmlformats.org/officeDocument/2006/relationships/hyperlink" Target="https://normativ.kontur.ru/document?moduleId=1&amp;documentId=380235&amp;p=1210&amp;utm_source=yandex&amp;utm_medium=organic&amp;utm_referer=yandex.ru&amp;utm_startpage=kontur.ru%2Farticles%2F4710&amp;utm_orderpage=kontur.ru%2Farticles%2F4710" TargetMode="External"/><Relationship Id="rId27" Type="http://schemas.openxmlformats.org/officeDocument/2006/relationships/hyperlink" Target="https://kontur.ru/articles/ideas/open_subsidy_business" TargetMode="External"/><Relationship Id="rId30" Type="http://schemas.openxmlformats.org/officeDocument/2006/relationships/hyperlink" Target="https://mbkuban.ru/financial-support/subsidies/?p=1210&amp;utm_source=yandex&amp;utm_medium=organic&amp;utm_referer=yandex.ru&amp;utm_startpage=kontur.ru%2Farticles%2F4710&amp;utm_orderpage=kontur.ru%2Farticles%2F4710" TargetMode="External"/><Relationship Id="rId35" Type="http://schemas.openxmlformats.org/officeDocument/2006/relationships/hyperlink" Target="https://normativ.kontur.ru/document?moduleId=1100&amp;documentId=14893&amp;p=1210&amp;utm_source=yandex&amp;utm_medium=organic&amp;utm_referer=yandex.ru&amp;utm_startpage=kontur.ru%2Farticles%2F4710&amp;utm_orderpage=kontur.ru%2Farticles%2F4710" TargetMode="External"/><Relationship Id="rId43" Type="http://schemas.openxmlformats.org/officeDocument/2006/relationships/hyperlink" Target="https://smbn.ru/service/support?p=1210&amp;utm_source=yandex&amp;utm_medium=organic&amp;utm_referer=yandex.ru&amp;utm_startpage=kontur.ru%2Farticles%2F4710&amp;utm_orderpage=kontur.ru%2Farticles%2F4710" TargetMode="External"/><Relationship Id="rId48" Type="http://schemas.openxmlformats.org/officeDocument/2006/relationships/hyperlink" Target="https://xn--90aifddrld7a.xn--p1ai/centers?p=1210&amp;utm_source=yandex&amp;utm_medium=organic&amp;utm_referer=yandex.ru&amp;utm_startpage=kontur.ru%2Farticles%2F4710&amp;utm_orderpage=kontur.ru%2Farticles%2F4710" TargetMode="External"/><Relationship Id="rId8" Type="http://schemas.openxmlformats.org/officeDocument/2006/relationships/hyperlink" Target="https://kontur.ru/articles/471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2022-10-05T12:12:00Z</dcterms:created>
  <dcterms:modified xsi:type="dcterms:W3CDTF">2022-10-05T12:12:00Z</dcterms:modified>
</cp:coreProperties>
</file>